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1BA9" w14:textId="44940E3E" w:rsidR="0068088D" w:rsidRPr="00E47402" w:rsidRDefault="0068088D">
      <w:pPr>
        <w:rPr>
          <w:rFonts w:ascii="Book Antiqua" w:hAnsi="Book Antiqua"/>
          <w:b/>
          <w:bCs/>
          <w:sz w:val="28"/>
          <w:szCs w:val="28"/>
        </w:rPr>
      </w:pPr>
      <w:r w:rsidRPr="00E47402">
        <w:rPr>
          <w:rFonts w:ascii="Book Antiqua" w:hAnsi="Book Antiqua"/>
          <w:b/>
          <w:bCs/>
          <w:sz w:val="28"/>
          <w:szCs w:val="28"/>
        </w:rPr>
        <w:t>Definitions of sexual misconduct and harassment</w:t>
      </w:r>
      <w:r w:rsidR="0063389E" w:rsidRPr="00E47402">
        <w:rPr>
          <w:rFonts w:ascii="Book Antiqua" w:hAnsi="Book Antiqua"/>
          <w:b/>
          <w:bCs/>
          <w:sz w:val="28"/>
          <w:szCs w:val="28"/>
        </w:rPr>
        <w:t xml:space="preserve"> in Guideline M.5.</w:t>
      </w:r>
    </w:p>
    <w:p w14:paraId="45CFD01B" w14:textId="506F8754" w:rsidR="0068088D" w:rsidRPr="00E47402" w:rsidRDefault="0068088D">
      <w:pPr>
        <w:rPr>
          <w:rFonts w:ascii="Book Antiqua" w:hAnsi="Book Antiqua"/>
        </w:rPr>
      </w:pPr>
    </w:p>
    <w:p w14:paraId="301778B7" w14:textId="251B8F41" w:rsidR="00464F89" w:rsidRPr="00E47402" w:rsidRDefault="00464F89" w:rsidP="0068088D">
      <w:pPr>
        <w:pStyle w:val="ListParagraph"/>
        <w:spacing w:line="276" w:lineRule="auto"/>
        <w:ind w:left="0"/>
        <w:rPr>
          <w:rFonts w:ascii="Book Antiqua" w:hAnsi="Book Antiqua"/>
          <w:b/>
          <w:bCs/>
          <w:color w:val="000000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>“Sexual misconduc</w:t>
      </w:r>
      <w:r w:rsidR="0063389E" w:rsidRPr="00E47402">
        <w:rPr>
          <w:rFonts w:ascii="Book Antiqua" w:hAnsi="Book Antiqua"/>
          <w:b/>
          <w:bCs/>
          <w:color w:val="000000"/>
          <w:sz w:val="24"/>
          <w:szCs w:val="24"/>
        </w:rPr>
        <w:t>t</w:t>
      </w: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 xml:space="preserve"> includes sexual advances</w:t>
      </w:r>
      <w:r w:rsidR="00AC2A0A" w:rsidRPr="00E47402">
        <w:rPr>
          <w:rFonts w:ascii="Book Antiqua" w:hAnsi="Book Antiqua"/>
          <w:b/>
          <w:bCs/>
          <w:color w:val="000000"/>
          <w:sz w:val="24"/>
          <w:szCs w:val="24"/>
        </w:rPr>
        <w:t xml:space="preserve"> or stalking</w:t>
      </w: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>, sexual requests, sexual harassment</w:t>
      </w:r>
      <w:r w:rsidR="0063389E" w:rsidRPr="00E47402">
        <w:rPr>
          <w:rFonts w:ascii="Book Antiqua" w:hAnsi="Book Antiqua"/>
          <w:b/>
          <w:bCs/>
          <w:color w:val="000000"/>
          <w:sz w:val="24"/>
          <w:szCs w:val="24"/>
        </w:rPr>
        <w:t>,</w:t>
      </w: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 xml:space="preserve"> and other unwelcome behaviors and communications of a sexual nature. We define sexual harassment in RC as conduct of a sexual nature—verbal, written, physical, visual, or electronic—that is seriou</w:t>
      </w:r>
      <w:r w:rsidR="0063389E" w:rsidRPr="00E47402">
        <w:rPr>
          <w:rFonts w:ascii="Book Antiqua" w:hAnsi="Book Antiqua"/>
          <w:b/>
          <w:bCs/>
          <w:color w:val="000000"/>
          <w:sz w:val="24"/>
          <w:szCs w:val="24"/>
        </w:rPr>
        <w:t>s</w:t>
      </w: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 xml:space="preserve">, or unwelcome and repeated.” </w:t>
      </w:r>
      <w:r w:rsidR="00C40235" w:rsidRPr="00E47402">
        <w:rPr>
          <w:rFonts w:ascii="Book Antiqua" w:hAnsi="Book Antiqua"/>
          <w:b/>
          <w:bCs/>
          <w:color w:val="000000"/>
          <w:sz w:val="24"/>
          <w:szCs w:val="24"/>
        </w:rPr>
        <w:t xml:space="preserve">From </w:t>
      </w:r>
      <w:r w:rsidRPr="00E47402">
        <w:rPr>
          <w:rFonts w:ascii="Book Antiqua" w:hAnsi="Book Antiqua"/>
          <w:b/>
          <w:bCs/>
          <w:color w:val="000000"/>
          <w:sz w:val="24"/>
          <w:szCs w:val="24"/>
        </w:rPr>
        <w:t>Guideline M.5., Part B</w:t>
      </w:r>
      <w:r w:rsidR="00C40235" w:rsidRPr="00E47402">
        <w:rPr>
          <w:rFonts w:ascii="Book Antiqua" w:hAnsi="Book Antiqua"/>
          <w:b/>
          <w:bCs/>
          <w:color w:val="000000"/>
          <w:sz w:val="24"/>
          <w:szCs w:val="24"/>
        </w:rPr>
        <w:t>.</w:t>
      </w:r>
    </w:p>
    <w:p w14:paraId="49FEB267" w14:textId="4B0F0889" w:rsidR="00C40235" w:rsidRPr="00E47402" w:rsidRDefault="00C40235" w:rsidP="0068088D">
      <w:pPr>
        <w:pStyle w:val="ListParagraph"/>
        <w:spacing w:line="276" w:lineRule="auto"/>
        <w:ind w:left="0"/>
        <w:rPr>
          <w:rFonts w:ascii="Book Antiqua" w:hAnsi="Book Antiqua"/>
          <w:color w:val="000000"/>
          <w:sz w:val="24"/>
          <w:szCs w:val="24"/>
        </w:rPr>
      </w:pPr>
    </w:p>
    <w:p w14:paraId="0E09D3FF" w14:textId="55526E20" w:rsidR="003A3CE0" w:rsidRPr="00E47402" w:rsidRDefault="00C40235" w:rsidP="00C40235">
      <w:pPr>
        <w:pStyle w:val="ListParagraph"/>
        <w:spacing w:line="276" w:lineRule="auto"/>
        <w:ind w:left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Sexual misconduct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 includes sexual advances</w:t>
      </w:r>
      <w:r w:rsidR="00AC2A0A" w:rsidRPr="00E47402">
        <w:rPr>
          <w:rFonts w:ascii="Book Antiqua" w:hAnsi="Book Antiqua"/>
          <w:color w:val="000000" w:themeColor="text1"/>
          <w:sz w:val="24"/>
          <w:szCs w:val="24"/>
        </w:rPr>
        <w:t xml:space="preserve"> or stalking,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 sexual requests, sexual harassment, and other unwelcome behaviors and communications of a sexual nature. 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Examples of sexual advance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—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kissing you unexpectedly on the lips;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pull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ing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you onto a bed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; touching your breast, butt, or penis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.  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Examples of 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exual request—</w:t>
      </w:r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can we have </w:t>
      </w:r>
      <w:proofErr w:type="gramStart"/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sex,</w:t>
      </w:r>
      <w:proofErr w:type="gramEnd"/>
      <w:r w:rsidR="00AE7DA1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would you touch my penis.</w:t>
      </w:r>
    </w:p>
    <w:p w14:paraId="4CE40ECC" w14:textId="64189906" w:rsidR="00AC2A0A" w:rsidRPr="00E47402" w:rsidRDefault="00AC2A0A" w:rsidP="00C40235">
      <w:pPr>
        <w:pStyle w:val="ListParagraph"/>
        <w:spacing w:line="276" w:lineRule="auto"/>
        <w:ind w:left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</w:p>
    <w:p w14:paraId="180563F2" w14:textId="4BAA52AE" w:rsidR="00AC2A0A" w:rsidRPr="00E47402" w:rsidRDefault="00AC2A0A" w:rsidP="00C40235">
      <w:pPr>
        <w:pStyle w:val="ListParagraph"/>
        <w:spacing w:line="276" w:lineRule="auto"/>
        <w:ind w:left="0"/>
        <w:rPr>
          <w:rFonts w:ascii="Book Antiqua" w:hAnsi="Book Antiqua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Stalking—</w:t>
      </w:r>
      <w:r w:rsidRPr="00E47402">
        <w:rPr>
          <w:rStyle w:val="dttext"/>
          <w:rFonts w:ascii="Book Antiqua" w:hAnsi="Book Antiqua"/>
          <w:sz w:val="24"/>
          <w:szCs w:val="24"/>
        </w:rPr>
        <w:t>engaging in a course of conduct directed at a person that serves no legitimate purpose and seriously alarms, annoys, or intimidates that person</w:t>
      </w:r>
      <w:r w:rsidR="0046456E" w:rsidRPr="00E47402">
        <w:rPr>
          <w:rStyle w:val="dttext"/>
          <w:rFonts w:ascii="Book Antiqua" w:hAnsi="Book Antiqua"/>
          <w:sz w:val="24"/>
          <w:szCs w:val="24"/>
        </w:rPr>
        <w:t xml:space="preserve"> (Merriam-Webster Dictionary)</w:t>
      </w:r>
      <w:r w:rsidRPr="00E47402">
        <w:rPr>
          <w:rStyle w:val="dttext"/>
          <w:rFonts w:ascii="Book Antiqua" w:hAnsi="Book Antiqua"/>
          <w:sz w:val="24"/>
          <w:szCs w:val="24"/>
        </w:rPr>
        <w:t>—</w:t>
      </w:r>
      <w:r w:rsidRPr="00E47402">
        <w:rPr>
          <w:rStyle w:val="dttext"/>
          <w:rFonts w:ascii="Book Antiqua" w:hAnsi="Book Antiqua"/>
          <w:i/>
          <w:iCs/>
          <w:sz w:val="24"/>
          <w:szCs w:val="24"/>
        </w:rPr>
        <w:t>repeated calls, texts, showing up when</w:t>
      </w:r>
      <w:r w:rsidR="0046456E" w:rsidRPr="00E47402">
        <w:rPr>
          <w:rStyle w:val="dttext"/>
          <w:rFonts w:ascii="Book Antiqua" w:hAnsi="Book Antiqua"/>
          <w:i/>
          <w:iCs/>
          <w:sz w:val="24"/>
          <w:szCs w:val="24"/>
        </w:rPr>
        <w:t xml:space="preserve"> the person has</w:t>
      </w:r>
      <w:r w:rsidRPr="00E47402">
        <w:rPr>
          <w:rStyle w:val="dttext"/>
          <w:rFonts w:ascii="Book Antiqua" w:hAnsi="Book Antiqua"/>
          <w:i/>
          <w:iCs/>
          <w:sz w:val="24"/>
          <w:szCs w:val="24"/>
        </w:rPr>
        <w:t xml:space="preserve"> indicated you are unwelcome.  </w:t>
      </w:r>
      <w:r w:rsidR="0046456E" w:rsidRPr="00E47402">
        <w:rPr>
          <w:rStyle w:val="dttext"/>
          <w:rFonts w:ascii="Book Antiqua" w:hAnsi="Book Antiqua"/>
          <w:sz w:val="24"/>
          <w:szCs w:val="24"/>
        </w:rPr>
        <w:t xml:space="preserve">Not to be confused with </w:t>
      </w:r>
      <w:r w:rsidR="00E50E9F" w:rsidRPr="00E47402">
        <w:rPr>
          <w:rStyle w:val="dttext"/>
          <w:rFonts w:ascii="Book Antiqua" w:hAnsi="Book Antiqua"/>
          <w:sz w:val="24"/>
          <w:szCs w:val="24"/>
        </w:rPr>
        <w:t>trying to help someone discharge instead of</w:t>
      </w:r>
      <w:r w:rsidR="0046456E" w:rsidRPr="00E47402">
        <w:rPr>
          <w:rStyle w:val="dttext"/>
          <w:rFonts w:ascii="Book Antiqua" w:hAnsi="Book Antiqua"/>
          <w:sz w:val="24"/>
          <w:szCs w:val="24"/>
        </w:rPr>
        <w:t xml:space="preserve"> leav</w:t>
      </w:r>
      <w:r w:rsidR="00E50E9F" w:rsidRPr="00E47402">
        <w:rPr>
          <w:rStyle w:val="dttext"/>
          <w:rFonts w:ascii="Book Antiqua" w:hAnsi="Book Antiqua"/>
          <w:sz w:val="24"/>
          <w:szCs w:val="24"/>
        </w:rPr>
        <w:t>ing them</w:t>
      </w:r>
      <w:r w:rsidR="0046456E" w:rsidRPr="00E47402">
        <w:rPr>
          <w:rStyle w:val="dttext"/>
          <w:rFonts w:ascii="Book Antiqua" w:hAnsi="Book Antiqua"/>
          <w:sz w:val="24"/>
          <w:szCs w:val="24"/>
        </w:rPr>
        <w:t xml:space="preserve"> alone when they are facing heavy material!</w:t>
      </w:r>
    </w:p>
    <w:p w14:paraId="3D68471D" w14:textId="77777777" w:rsidR="003A3CE0" w:rsidRPr="00E47402" w:rsidRDefault="003A3CE0" w:rsidP="00C40235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</w:p>
    <w:p w14:paraId="0459F758" w14:textId="2A1687E6" w:rsidR="0063389E" w:rsidRPr="00E47402" w:rsidRDefault="0063389E" w:rsidP="00C40235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Read the footnotes in this Guideline!</w:t>
      </w:r>
    </w:p>
    <w:p w14:paraId="255E547E" w14:textId="5F1BCB71" w:rsidR="003A3CE0" w:rsidRPr="00E47402" w:rsidRDefault="0063389E" w:rsidP="00C40235">
      <w:pPr>
        <w:pStyle w:val="FootnoteText"/>
        <w:spacing w:line="276" w:lineRule="auto"/>
        <w:rPr>
          <w:rFonts w:ascii="Book Antiqua" w:hAnsi="Book Antiqua" w:cs="Calibri"/>
          <w:color w:val="000000" w:themeColor="text1"/>
          <w:sz w:val="24"/>
          <w:szCs w:val="24"/>
        </w:rPr>
      </w:pPr>
      <w:r w:rsidRPr="00E47402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Footnote 16</w:t>
      </w:r>
      <w:r w:rsidR="00F86489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0</w:t>
      </w:r>
      <w:r w:rsidR="003A3CE0" w:rsidRPr="00E47402">
        <w:rPr>
          <w:rFonts w:ascii="Book Antiqua" w:hAnsi="Book Antiqua" w:cs="Calibri"/>
          <w:color w:val="000000" w:themeColor="text1"/>
          <w:sz w:val="24"/>
          <w:szCs w:val="24"/>
        </w:rPr>
        <w:t>:</w:t>
      </w:r>
      <w:r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“</w:t>
      </w:r>
      <w:r w:rsidR="00C40235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Sexual misconduct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 could include working on sexual distresses</w:t>
      </w:r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without the Co-Counselor’s agreement or a client repeatedly bringing up sexual material, inside or outside of a session, without considering how oppression and domination have affected both the client’s and the counselor’s distress recordings connected to sex. (This concern especially applies to adults with young people.)</w:t>
      </w:r>
      <w:r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Pr="00E47402">
        <w:rPr>
          <w:rFonts w:ascii="Book Antiqua" w:hAnsi="Book Antiqua" w:cs="Calibri"/>
          <w:color w:val="000000"/>
          <w:sz w:val="24"/>
          <w:szCs w:val="24"/>
        </w:rPr>
        <w:t>People are encouraged to use their reference people to help resolve any confusions or issues.</w:t>
      </w:r>
      <w:r w:rsidRPr="00E47402">
        <w:rPr>
          <w:rFonts w:ascii="Book Antiqua" w:hAnsi="Book Antiqua" w:cs="Calibri"/>
          <w:color w:val="000000" w:themeColor="text1"/>
          <w:sz w:val="24"/>
          <w:szCs w:val="24"/>
        </w:rPr>
        <w:t>”</w:t>
      </w:r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3A3CE0" w:rsidRPr="00E47402">
        <w:rPr>
          <w:rFonts w:ascii="Book Antiqua" w:hAnsi="Book Antiqua" w:cs="Calibri"/>
          <w:i/>
          <w:iCs/>
          <w:color w:val="000000" w:themeColor="text1"/>
          <w:sz w:val="24"/>
          <w:szCs w:val="24"/>
        </w:rPr>
        <w:t>Examples—a man works on his sexual distresses with a woman without ever having discussed whether that would be OK (or teacher with new Co-Counselor, or older person with young person)</w:t>
      </w:r>
    </w:p>
    <w:p w14:paraId="7F17625F" w14:textId="77777777" w:rsidR="00C40235" w:rsidRPr="00E47402" w:rsidRDefault="00C40235" w:rsidP="00C40235">
      <w:pPr>
        <w:pStyle w:val="ListParagraph"/>
        <w:spacing w:line="276" w:lineRule="auto"/>
        <w:ind w:left="0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2C19FCA6" w14:textId="0A2AE76E" w:rsidR="003A3CE0" w:rsidRPr="00E47402" w:rsidRDefault="00AE7DA1" w:rsidP="0068088D">
      <w:pPr>
        <w:pStyle w:val="ListParagraph"/>
        <w:spacing w:line="276" w:lineRule="auto"/>
        <w:ind w:left="0"/>
        <w:rPr>
          <w:rFonts w:ascii="Book Antiqua" w:hAnsi="Book Antiqua" w:cs="Calibri"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It is n</w:t>
      </w:r>
      <w:r w:rsidR="00C40235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ot sexual misconduct or harassment 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>to explicitly talk about sex at RC events that address sex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, or to talk about this Guideline and how it can be applied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.  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In RC, we i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ntend to create a good place 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for </w:t>
      </w:r>
      <w:proofErr w:type="spellStart"/>
      <w:r w:rsidRPr="00E47402">
        <w:rPr>
          <w:rFonts w:ascii="Book Antiqua" w:hAnsi="Book Antiqua"/>
          <w:color w:val="000000" w:themeColor="text1"/>
          <w:sz w:val="24"/>
          <w:szCs w:val="24"/>
        </w:rPr>
        <w:t>RCers</w:t>
      </w:r>
      <w:proofErr w:type="spellEnd"/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to work on sex.  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People choose to attend events where we work on sex, e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ven if 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they</w:t>
      </w:r>
      <w:r w:rsidR="00C40235" w:rsidRPr="00E47402">
        <w:rPr>
          <w:rFonts w:ascii="Book Antiqua" w:hAnsi="Book Antiqua"/>
          <w:color w:val="000000" w:themeColor="text1"/>
          <w:sz w:val="24"/>
          <w:szCs w:val="24"/>
        </w:rPr>
        <w:t xml:space="preserve"> feel uncomfortable.</w:t>
      </w:r>
      <w:r w:rsidR="00C40235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  </w:t>
      </w:r>
      <w:r w:rsidR="0063389E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Footnote 16</w:t>
      </w:r>
      <w:r w:rsidR="00F86489">
        <w:rPr>
          <w:rFonts w:ascii="Book Antiqua" w:hAnsi="Book Antiqua"/>
          <w:b/>
          <w:bCs/>
          <w:color w:val="000000" w:themeColor="text1"/>
          <w:sz w:val="24"/>
          <w:szCs w:val="24"/>
        </w:rPr>
        <w:t>1</w:t>
      </w:r>
      <w:r w:rsidR="003A7706" w:rsidRPr="00E47402">
        <w:rPr>
          <w:rFonts w:ascii="Book Antiqua" w:hAnsi="Book Antiqua"/>
          <w:color w:val="000000" w:themeColor="text1"/>
          <w:sz w:val="24"/>
          <w:szCs w:val="24"/>
        </w:rPr>
        <w:t>:</w:t>
      </w:r>
      <w:r w:rsidR="0063389E" w:rsidRPr="00E47402">
        <w:rPr>
          <w:rFonts w:ascii="Book Antiqua" w:hAnsi="Book Antiqua"/>
          <w:color w:val="000000" w:themeColor="text1"/>
          <w:sz w:val="24"/>
          <w:szCs w:val="24"/>
        </w:rPr>
        <w:t xml:space="preserve"> “</w:t>
      </w:r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In RC we have workshops, classes, and sessions on the topic of sex in which sex may be explicitly talked about. Co-Counselors voluntarily participate in these events, and in these </w:t>
      </w:r>
      <w:proofErr w:type="gramStart"/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t>activities</w:t>
      </w:r>
      <w:proofErr w:type="gramEnd"/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we create the conditions in which participants can discharge on early hurts and the feelings connected with the early hurts in order to have a relaxed, rational </w:t>
      </w:r>
      <w:r w:rsidR="00C40235" w:rsidRPr="00E47402">
        <w:rPr>
          <w:rFonts w:ascii="Book Antiqua" w:hAnsi="Book Antiqua" w:cs="Calibri"/>
          <w:color w:val="000000" w:themeColor="text1"/>
          <w:sz w:val="24"/>
          <w:szCs w:val="24"/>
        </w:rPr>
        <w:lastRenderedPageBreak/>
        <w:t>relationship to sex. Participants may experience uncomfortable feelings about sex in these events, but that is not the same as sexual harassment.</w:t>
      </w:r>
      <w:r w:rsidR="0063389E" w:rsidRPr="00E47402">
        <w:rPr>
          <w:rFonts w:ascii="Book Antiqua" w:hAnsi="Book Antiqua" w:cs="Calibri"/>
          <w:color w:val="000000" w:themeColor="text1"/>
          <w:sz w:val="24"/>
          <w:szCs w:val="24"/>
        </w:rPr>
        <w:t>”</w:t>
      </w:r>
      <w:r w:rsidR="003A3CE0" w:rsidRPr="00E47402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3A3CE0" w:rsidRPr="00E47402">
        <w:rPr>
          <w:rFonts w:ascii="Book Antiqua" w:hAnsi="Book Antiqua" w:cs="Calibri"/>
          <w:i/>
          <w:iCs/>
          <w:color w:val="000000" w:themeColor="text1"/>
          <w:sz w:val="24"/>
          <w:szCs w:val="24"/>
        </w:rPr>
        <w:t xml:space="preserve">Example—demonstrations with clients explicitly naming parts of the body or describing a sexual experience or sexual fantasy at a workshop on sex are not sexual misconduct or harassment.  </w:t>
      </w:r>
    </w:p>
    <w:p w14:paraId="0DA5C9AF" w14:textId="77777777" w:rsidR="00464F89" w:rsidRPr="00E47402" w:rsidRDefault="00464F89" w:rsidP="0068088D">
      <w:pPr>
        <w:pStyle w:val="ListParagraph"/>
        <w:spacing w:line="276" w:lineRule="auto"/>
        <w:ind w:left="0"/>
        <w:rPr>
          <w:rFonts w:ascii="Book Antiqua" w:hAnsi="Book Antiqua"/>
          <w:color w:val="000000"/>
          <w:sz w:val="24"/>
          <w:szCs w:val="24"/>
        </w:rPr>
      </w:pPr>
    </w:p>
    <w:p w14:paraId="23CF59CF" w14:textId="4CEBB557" w:rsidR="0068088D" w:rsidRPr="00E47402" w:rsidRDefault="0068088D" w:rsidP="0068088D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Sexual harassment is a subset of </w:t>
      </w:r>
      <w:r w:rsidR="00C40235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 xml:space="preserve">sexual </w:t>
      </w:r>
      <w:r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misconduct.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  “Conduct of a sexual nature—verbal, written, physical, visual, or electronic—that is seriou</w:t>
      </w:r>
      <w:r w:rsidR="0063389E" w:rsidRPr="00E47402">
        <w:rPr>
          <w:rFonts w:ascii="Book Antiqua" w:hAnsi="Book Antiqua"/>
          <w:color w:val="000000" w:themeColor="text1"/>
          <w:sz w:val="24"/>
          <w:szCs w:val="24"/>
        </w:rPr>
        <w:t>s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, or unwelcome and repeated.</w:t>
      </w:r>
      <w:r w:rsidR="002169B5" w:rsidRPr="00E47402">
        <w:rPr>
          <w:rFonts w:ascii="Book Antiqua" w:hAnsi="Book Antiqua"/>
          <w:color w:val="000000" w:themeColor="text1"/>
          <w:sz w:val="24"/>
          <w:szCs w:val="24"/>
        </w:rPr>
        <w:t>”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 xml:space="preserve">  </w:t>
      </w:r>
      <w:r w:rsidR="0063389E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Footnote 16</w:t>
      </w:r>
      <w:r w:rsidR="00F86489">
        <w:rPr>
          <w:rFonts w:ascii="Book Antiqua" w:hAnsi="Book Antiqua"/>
          <w:b/>
          <w:bCs/>
          <w:color w:val="000000" w:themeColor="text1"/>
          <w:sz w:val="24"/>
          <w:szCs w:val="24"/>
        </w:rPr>
        <w:t>2</w:t>
      </w:r>
      <w:r w:rsidR="0063389E" w:rsidRPr="00E47402">
        <w:rPr>
          <w:rFonts w:ascii="Book Antiqua" w:hAnsi="Book Antiqua"/>
          <w:b/>
          <w:bCs/>
          <w:color w:val="000000" w:themeColor="text1"/>
          <w:sz w:val="24"/>
          <w:szCs w:val="24"/>
        </w:rPr>
        <w:t>:</w:t>
      </w:r>
      <w:r w:rsidR="0063389E" w:rsidRPr="00E47402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3A7706" w:rsidRPr="00E47402">
        <w:rPr>
          <w:rFonts w:ascii="Book Antiqua" w:hAnsi="Book Antiqua"/>
          <w:color w:val="000000" w:themeColor="text1"/>
          <w:sz w:val="24"/>
          <w:szCs w:val="24"/>
        </w:rPr>
        <w:t>“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Not all conduct of a sexual nature is</w:t>
      </w:r>
      <w:r w:rsidR="004F758B" w:rsidRPr="00E47402">
        <w:rPr>
          <w:rFonts w:ascii="Book Antiqua" w:hAnsi="Book Antiqua"/>
          <w:color w:val="000000" w:themeColor="text1"/>
          <w:sz w:val="24"/>
          <w:szCs w:val="24"/>
        </w:rPr>
        <w:t xml:space="preserve"> “serious</w:t>
      </w:r>
      <w:r w:rsidRPr="00E47402">
        <w:rPr>
          <w:rFonts w:ascii="Book Antiqua" w:hAnsi="Book Antiqua"/>
          <w:color w:val="000000" w:themeColor="text1"/>
          <w:sz w:val="24"/>
          <w:szCs w:val="24"/>
        </w:rPr>
        <w:t>.</w:t>
      </w:r>
      <w:r w:rsidR="004F758B" w:rsidRPr="00E47402">
        <w:rPr>
          <w:rFonts w:ascii="Book Antiqua" w:hAnsi="Book Antiqua"/>
          <w:color w:val="000000" w:themeColor="text1"/>
          <w:sz w:val="24"/>
          <w:szCs w:val="24"/>
        </w:rPr>
        <w:t>”</w:t>
      </w:r>
      <w:r w:rsidR="0063389E" w:rsidRPr="00E47402">
        <w:rPr>
          <w:rFonts w:ascii="Book Antiqua" w:hAnsi="Book Antiqua" w:cs="AppleSystemUIFont"/>
          <w:sz w:val="24"/>
          <w:szCs w:val="24"/>
        </w:rPr>
        <w:t xml:space="preserve"> If such conduct is repeated and unwelcome, even if not serious, it could become sexual harassment.</w:t>
      </w:r>
      <w:r w:rsidR="003A7706" w:rsidRPr="00E47402">
        <w:rPr>
          <w:rFonts w:ascii="Book Antiqua" w:hAnsi="Book Antiqua" w:cs="AppleSystemUIFont"/>
          <w:sz w:val="24"/>
          <w:szCs w:val="24"/>
        </w:rPr>
        <w:t>”</w:t>
      </w:r>
    </w:p>
    <w:p w14:paraId="64B5274C" w14:textId="77777777" w:rsidR="0068088D" w:rsidRPr="00E47402" w:rsidRDefault="0068088D" w:rsidP="0068088D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</w:p>
    <w:p w14:paraId="14B18B4B" w14:textId="73F96207" w:rsidR="0068088D" w:rsidRPr="00E47402" w:rsidRDefault="0068088D" w:rsidP="0068088D">
      <w:pPr>
        <w:pStyle w:val="ListParagraph"/>
        <w:spacing w:line="276" w:lineRule="auto"/>
        <w:ind w:left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If it’s not conduct of a sexual nature, it’s not sexual harassment.  </w:t>
      </w:r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For example, it c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ould be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completely appropriate </w:t>
      </w:r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as a counselor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to lie 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on top of your client in a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physical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session,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with 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full body contact. 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This is not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conduct of a sexual nature</w:t>
      </w:r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, it is a physical session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.  Holding someone who is sobbing, or pulling them in close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to increase connection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,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is 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not conduct of a sexual nature</w:t>
      </w:r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.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</w:t>
      </w:r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However, in </w:t>
      </w:r>
      <w:proofErr w:type="gramStart"/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both of these</w:t>
      </w:r>
      <w:proofErr w:type="gramEnd"/>
      <w:r w:rsidR="00464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situations, the conduct </w:t>
      </w:r>
      <w:r w:rsidR="002169B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could be misinterpreted.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We will want to be sure that clients in these situations understand what </w:t>
      </w:r>
      <w:r w:rsidR="00C4023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the counselor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doing and why</w:t>
      </w:r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they are doing </w:t>
      </w:r>
      <w:proofErr w:type="gramStart"/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it</w:t>
      </w:r>
      <w:r w:rsidR="00C4023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,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and</w:t>
      </w:r>
      <w:proofErr w:type="gramEnd"/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have agreed to the session.  </w:t>
      </w:r>
    </w:p>
    <w:p w14:paraId="7A39794F" w14:textId="77777777" w:rsidR="0068088D" w:rsidRPr="00E47402" w:rsidRDefault="0068088D" w:rsidP="0068088D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</w:p>
    <w:p w14:paraId="09EFCD54" w14:textId="58196AFB" w:rsidR="0068088D" w:rsidRPr="003A7706" w:rsidRDefault="0068088D" w:rsidP="0068088D">
      <w:pPr>
        <w:pStyle w:val="ListParagraph"/>
        <w:spacing w:line="276" w:lineRule="auto"/>
        <w:ind w:left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If conduct of a sexual nature is not serious, and is not unwelcome and repeated, it is not sexual harassment.  Examples: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someone could make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a joke, say something about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their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sex life, reach out and strok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e someone’s 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hair.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Maybe this is conduct of a sexual nature, but it is not serious, or unwelcome and repeated.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If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the person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indicate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it is unwelcome, and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the behavior is then repeated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,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it </w:t>
      </w:r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c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ould be considered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sexual harassment.  If 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no one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indicate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s that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it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is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unwelcome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,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</w:t>
      </w:r>
      <w:r w:rsidR="002A0870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but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the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behavior is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repeat</w:t>
      </w:r>
      <w:r w:rsidR="00E41F89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ed</w:t>
      </w:r>
      <w:r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, </w:t>
      </w:r>
      <w:r w:rsidR="00C40235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it </w:t>
      </w:r>
      <w:r w:rsidR="002A0870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may or may not</w:t>
      </w:r>
      <w:r w:rsidR="008A2307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be considered sexual harassment</w:t>
      </w:r>
      <w:r w:rsidR="002A0870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. </w:t>
      </w:r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The entire situation, including the relationship of the people involved, would need to be </w:t>
      </w:r>
      <w:proofErr w:type="gramStart"/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taken into account</w:t>
      </w:r>
      <w:proofErr w:type="gramEnd"/>
      <w:r w:rsidR="00E50E9F" w:rsidRPr="00E47402">
        <w:rPr>
          <w:rFonts w:ascii="Book Antiqua" w:hAnsi="Book Antiqua"/>
          <w:i/>
          <w:iCs/>
          <w:color w:val="000000" w:themeColor="text1"/>
          <w:sz w:val="24"/>
          <w:szCs w:val="24"/>
        </w:rPr>
        <w:t>.</w:t>
      </w:r>
    </w:p>
    <w:p w14:paraId="4FDA8C0C" w14:textId="77777777" w:rsidR="003A7706" w:rsidRDefault="003A7706" w:rsidP="0068088D">
      <w:pPr>
        <w:pStyle w:val="ListParagraph"/>
        <w:spacing w:line="276" w:lineRule="auto"/>
        <w:ind w:left="0"/>
        <w:rPr>
          <w:rFonts w:ascii="Book Antiqua" w:hAnsi="Book Antiqua"/>
          <w:color w:val="000000" w:themeColor="text1"/>
          <w:sz w:val="24"/>
          <w:szCs w:val="24"/>
        </w:rPr>
      </w:pPr>
    </w:p>
    <w:sectPr w:rsidR="003A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4F2D" w14:textId="77777777" w:rsidR="00A354C1" w:rsidRDefault="00A354C1" w:rsidP="0068088D">
      <w:r>
        <w:separator/>
      </w:r>
    </w:p>
  </w:endnote>
  <w:endnote w:type="continuationSeparator" w:id="0">
    <w:p w14:paraId="136A1277" w14:textId="77777777" w:rsidR="00A354C1" w:rsidRDefault="00A354C1" w:rsidP="0068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ACE0" w14:textId="77777777" w:rsidR="00A354C1" w:rsidRDefault="00A354C1" w:rsidP="0068088D">
      <w:r>
        <w:separator/>
      </w:r>
    </w:p>
  </w:footnote>
  <w:footnote w:type="continuationSeparator" w:id="0">
    <w:p w14:paraId="42BF55DE" w14:textId="77777777" w:rsidR="00A354C1" w:rsidRDefault="00A354C1" w:rsidP="00680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8D"/>
    <w:rsid w:val="00105F36"/>
    <w:rsid w:val="002169B5"/>
    <w:rsid w:val="002A0870"/>
    <w:rsid w:val="002B275C"/>
    <w:rsid w:val="002F175F"/>
    <w:rsid w:val="002F7ED2"/>
    <w:rsid w:val="003A3CE0"/>
    <w:rsid w:val="003A7706"/>
    <w:rsid w:val="003F2127"/>
    <w:rsid w:val="00435153"/>
    <w:rsid w:val="0046456E"/>
    <w:rsid w:val="00464F89"/>
    <w:rsid w:val="004F758B"/>
    <w:rsid w:val="0063389E"/>
    <w:rsid w:val="0068088D"/>
    <w:rsid w:val="006C74AA"/>
    <w:rsid w:val="00711600"/>
    <w:rsid w:val="008A2307"/>
    <w:rsid w:val="00A20BBC"/>
    <w:rsid w:val="00A354C1"/>
    <w:rsid w:val="00A751A3"/>
    <w:rsid w:val="00A86C54"/>
    <w:rsid w:val="00AC2A0A"/>
    <w:rsid w:val="00AE277F"/>
    <w:rsid w:val="00AE7DA1"/>
    <w:rsid w:val="00B8690E"/>
    <w:rsid w:val="00B908FC"/>
    <w:rsid w:val="00B95682"/>
    <w:rsid w:val="00C23988"/>
    <w:rsid w:val="00C40235"/>
    <w:rsid w:val="00C94848"/>
    <w:rsid w:val="00D4654D"/>
    <w:rsid w:val="00DD1F0F"/>
    <w:rsid w:val="00E41F89"/>
    <w:rsid w:val="00E47402"/>
    <w:rsid w:val="00E50E9F"/>
    <w:rsid w:val="00E51E5C"/>
    <w:rsid w:val="00F17A65"/>
    <w:rsid w:val="00F378E6"/>
    <w:rsid w:val="00F86489"/>
    <w:rsid w:val="00F92A19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CA72B"/>
  <w15:chartTrackingRefBased/>
  <w15:docId w15:val="{A50D12D9-9C5A-1543-B9BB-3A92149B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8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FootnoteText">
    <w:name w:val="footnote text"/>
    <w:basedOn w:val="Normal"/>
    <w:link w:val="FootnoteTextChar"/>
    <w:rsid w:val="0068088D"/>
    <w:pPr>
      <w:jc w:val="both"/>
    </w:pPr>
    <w:rPr>
      <w:rFonts w:ascii="Palatino" w:eastAsia="Times New Roman" w:hAnsi="Palatin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qFormat/>
    <w:rsid w:val="0068088D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uiPriority w:val="99"/>
    <w:rsid w:val="0068088D"/>
    <w:rPr>
      <w:sz w:val="20"/>
      <w:vertAlign w:val="superscript"/>
    </w:rPr>
  </w:style>
  <w:style w:type="character" w:customStyle="1" w:styleId="dttext">
    <w:name w:val="dttext"/>
    <w:basedOn w:val="DefaultParagraphFont"/>
    <w:rsid w:val="00AC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Shisk</dc:creator>
  <cp:keywords/>
  <dc:description/>
  <cp:lastModifiedBy>Diane Shisk</cp:lastModifiedBy>
  <cp:revision>2</cp:revision>
  <cp:lastPrinted>2023-05-10T15:29:00Z</cp:lastPrinted>
  <dcterms:created xsi:type="dcterms:W3CDTF">2023-05-10T15:29:00Z</dcterms:created>
  <dcterms:modified xsi:type="dcterms:W3CDTF">2023-05-10T15:29:00Z</dcterms:modified>
</cp:coreProperties>
</file>